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MÉMOIRE TECHNIQUE</w:t>
      </w:r>
    </w:p>
    <w:p>
      <w:pPr>
        <w:jc w:val="center"/>
      </w:pPr>
      <w:r>
        <w:rPr>
          <w:color w:val="6B6B6B"/>
          <w:sz w:val="18"/>
        </w:rPr>
        <w:t>Modèle Tendolio — structure de base à adapter aux critères et sous-critères du règlement de consultation</w:t>
      </w:r>
    </w:p>
    <w:p>
      <w:r>
        <w:rPr>
          <w:i/>
          <w:color w:val="6B6B6B"/>
          <w:sz w:val="18"/>
        </w:rPr>
        <w:t>[Si l'acheteur fournit un cadre de réponse, c'est lui qu'il faut remplir. Ce modèle sert seulement quand le mémoire est libre. Reprendre exactement l'ordre et les intitulés des critères du RC ; un chapitre par sous-critère, volume proportionnel au poids.]</w:t>
      </w:r>
    </w:p>
    <w:p>
      <w:pPr>
        <w:keepNext/>
        <w:spacing w:before="200"/>
      </w:pPr>
      <w:r>
        <w:rPr>
          <w:b/>
          <w:sz w:val="24"/>
        </w:rPr>
        <w:t>Tableau de correspondance avec les critères du règlement de consultation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Critère / sous-critère (intitulé du RC)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Pondération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Chapitre du mémoire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Page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1. Présentation de l'entreprise</w:t>
      </w:r>
    </w:p>
    <w:p>
      <w:r>
        <w:rPr>
          <w:i/>
          <w:color w:val="6B6B6B"/>
          <w:sz w:val="18"/>
        </w:rPr>
        <w:t>[Raison sociale, forme, date de création, SIRET, effectif, chiffre d'affaires des 3 derniers exercices, implantation et distance au site, certifications et labels, assurances. 10 à 15 lignes maximum.]</w:t>
      </w:r>
    </w:p>
    <w:p>
      <w:pPr>
        <w:keepNext/>
        <w:spacing w:before="200"/>
      </w:pPr>
      <w:r>
        <w:rPr>
          <w:b/>
          <w:sz w:val="24"/>
        </w:rPr>
        <w:t>2. Compréhension du besoin et du contexte</w:t>
      </w:r>
    </w:p>
    <w:p>
      <w:r>
        <w:rPr>
          <w:i/>
          <w:color w:val="6B6B6B"/>
          <w:sz w:val="18"/>
        </w:rPr>
        <w:t>[Reformuler l'objet, les sites, les contraintes (horaires, sécurité, site occupé, publics), les enjeux de l'acheteur et les points de vigilance relevés dans le CCTP. Montrer que le dossier a été lu en entier.]</w:t>
      </w:r>
    </w:p>
    <w:p>
      <w:pPr>
        <w:keepNext/>
        <w:spacing w:before="200"/>
      </w:pPr>
      <w:r>
        <w:rPr>
          <w:b/>
          <w:sz w:val="24"/>
        </w:rPr>
        <w:t>3. Moyens humains affectés au marché</w:t>
      </w:r>
    </w:p>
    <w:p>
      <w:r>
        <w:rPr>
          <w:i/>
          <w:color w:val="6B6B6B"/>
          <w:sz w:val="18"/>
        </w:rPr>
        <w:t>[Organigramme du marché, référent nommé et suppléant, qualifications et habilitations de chacun, effectif dédié par site, organisation des remplacements (délai, pool formé), formation.]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Fonction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Nom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Qualifications / habilitations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Expérience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Temps affecté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4. Moyens matériels et techniques</w:t>
      </w:r>
    </w:p>
    <w:p>
      <w:r>
        <w:rPr>
          <w:i/>
          <w:color w:val="6B6B6B"/>
          <w:sz w:val="18"/>
        </w:rPr>
        <w:t>[Une seule solution par besoin : modèle, marque, quantité, caractéristiques chiffrées conformes au CCTP, fiche technique en annexe. Matériel de secours, véhicules, outils de suivi.]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Matériel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Marque / modèle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Quantité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Caractéristique exigée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Valeur proposée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5. Méthodologie d'exécution</w:t>
      </w:r>
    </w:p>
    <w:p>
      <w:r>
        <w:rPr>
          <w:i/>
          <w:color w:val="6B6B6B"/>
          <w:sz w:val="18"/>
        </w:rPr>
        <w:t>[Pas à pas : démarrage (notification → J+n), déroulé d'une intervention type, fréquences, horaires, sécurité, gestion des aléas, coordination avec l'acheteur.]</w:t>
      </w:r>
    </w:p>
    <w:p>
      <w:pPr>
        <w:keepNext/>
        <w:spacing w:before="200"/>
      </w:pPr>
      <w:r>
        <w:rPr>
          <w:b/>
          <w:sz w:val="24"/>
        </w:rPr>
        <w:t>6. Planning de mise en place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Étape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Délai après notification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Responsable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Livrable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7. Qualité, contrôle et indicateurs</w:t>
      </w:r>
    </w:p>
    <w:p>
      <w:r>
        <w:rPr>
          <w:i/>
          <w:color w:val="6B6B6B"/>
          <w:sz w:val="18"/>
        </w:rPr>
        <w:t>[Reprendre chaque indicateur imposé par le CCTP : méthode de calcul, source, fréquence, seuil, action corrective. Traçabilité, contrôles contradictoires, gestion des réclamations.]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Indicateur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Calcul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Fréquence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Seuil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Action si non atteint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8. Joignabilité, réactivité et service après-vente</w:t>
      </w:r>
    </w:p>
    <w:p>
      <w:r>
        <w:rPr>
          <w:i/>
          <w:color w:val="6B6B6B"/>
          <w:sz w:val="18"/>
        </w:rPr>
        <w:t>[Canaux (téléphone fixe national, courriel, plateforme), horaires, astreinte, délais d'intervention chiffrés par niveau d'urgence, interlocuteur humain nommé.]</w:t>
      </w:r>
    </w:p>
    <w:p>
      <w:pPr>
        <w:keepNext/>
        <w:spacing w:before="200"/>
      </w:pPr>
      <w:r>
        <w:rPr>
          <w:b/>
          <w:sz w:val="24"/>
        </w:rPr>
        <w:t>9. Démarche environnementale</w:t>
      </w:r>
    </w:p>
    <w:p>
      <w:r>
        <w:rPr>
          <w:i/>
          <w:color w:val="6B6B6B"/>
          <w:sz w:val="18"/>
        </w:rPr>
        <w:t>[Levier → engagement chiffré → preuve : produits et matériels (labels, classe énergétique), déplacements, déchets (filières, Trackdéchets), sobriété, bilan carbone ou BEGES si disponible.]</w:t>
      </w:r>
    </w:p>
    <w:p>
      <w:pPr>
        <w:keepNext/>
        <w:spacing w:before="200"/>
      </w:pPr>
      <w:r>
        <w:rPr>
          <w:b/>
          <w:sz w:val="24"/>
        </w:rPr>
        <w:t>10. Engagements sociaux</w:t>
      </w:r>
    </w:p>
    <w:p>
      <w:r>
        <w:rPr>
          <w:i/>
          <w:color w:val="6B6B6B"/>
          <w:sz w:val="18"/>
        </w:rPr>
        <w:t>[Insertion (heures, partenaire SIAE/EA), formation, égalité, santé et sécurité au travail.]</w:t>
      </w:r>
    </w:p>
    <w:p>
      <w:pPr>
        <w:keepNext/>
        <w:spacing w:before="200"/>
      </w:pPr>
      <w:r>
        <w:rPr>
          <w:b/>
          <w:sz w:val="24"/>
        </w:rPr>
        <w:t>11. Références similaires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Acheteur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Objet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Montant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Année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Contact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Annexes</w:t>
      </w:r>
    </w:p>
    <w:p>
      <w:r>
        <w:rPr>
          <w:i/>
          <w:color w:val="6B6B6B"/>
          <w:sz w:val="18"/>
        </w:rPr>
        <w:t>[Seulement les pièces demandées ou autorisées par le RC, numérotées et titrées ; fiches des seuls produits proposés.]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